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3EC" w:rsidRDefault="00DA310C">
      <w:pPr>
        <w:spacing w:line="276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2</w:t>
      </w:r>
      <w:r w:rsidR="00E124AB">
        <w:rPr>
          <w:sz w:val="24"/>
          <w:szCs w:val="24"/>
        </w:rPr>
        <w:t xml:space="preserve"> к письму</w:t>
      </w:r>
    </w:p>
    <w:p w:rsidR="004B73EC" w:rsidRDefault="00E124AB" w:rsidP="00DA310C">
      <w:pPr>
        <w:spacing w:line="276" w:lineRule="auto"/>
        <w:ind w:firstLine="709"/>
        <w:jc w:val="right"/>
        <w:rPr>
          <w:sz w:val="28"/>
          <w:szCs w:val="28"/>
        </w:rPr>
      </w:pPr>
      <w:r>
        <w:rPr>
          <w:sz w:val="24"/>
          <w:szCs w:val="24"/>
        </w:rPr>
        <w:t>от ________№_______</w:t>
      </w:r>
    </w:p>
    <w:p w:rsidR="00DA310C" w:rsidRPr="00DA310C" w:rsidRDefault="00DA310C" w:rsidP="00DA310C">
      <w:pPr>
        <w:spacing w:line="276" w:lineRule="auto"/>
        <w:ind w:firstLine="709"/>
        <w:jc w:val="right"/>
        <w:rPr>
          <w:sz w:val="28"/>
          <w:szCs w:val="28"/>
        </w:rPr>
      </w:pPr>
    </w:p>
    <w:p w:rsidR="00DA310C" w:rsidRDefault="00DA310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Информация </w:t>
      </w:r>
    </w:p>
    <w:p w:rsidR="004B73EC" w:rsidRDefault="00DA310C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E124AB">
        <w:rPr>
          <w:b/>
          <w:bCs/>
          <w:sz w:val="28"/>
          <w:szCs w:val="28"/>
        </w:rPr>
        <w:t>б итогах реализации мероприятий государственной программы Ханты-Мансийского автономного округа – Югры «Современная транспортная система», в том числе направленных на развитие водного, железнодорожного, автомобильного и воздушного транспорта, за 2025 год</w:t>
      </w:r>
    </w:p>
    <w:p w:rsidR="004B73EC" w:rsidRDefault="004B73EC">
      <w:pPr>
        <w:spacing w:line="276" w:lineRule="auto"/>
        <w:ind w:firstLine="709"/>
        <w:jc w:val="both"/>
        <w:rPr>
          <w:sz w:val="28"/>
          <w:szCs w:val="28"/>
        </w:rPr>
      </w:pPr>
    </w:p>
    <w:p w:rsidR="004B73EC" w:rsidRDefault="00E124AB" w:rsidP="00331952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Транспортный комплекс </w:t>
      </w:r>
      <w:r w:rsidR="00331952">
        <w:rPr>
          <w:sz w:val="28"/>
          <w:szCs w:val="28"/>
        </w:rPr>
        <w:t>Ханты-Мансийского автономного округа – Югры (далее – автономный округ)</w:t>
      </w:r>
      <w:r>
        <w:rPr>
          <w:sz w:val="28"/>
          <w:szCs w:val="28"/>
        </w:rPr>
        <w:t xml:space="preserve"> сформирован автомобильным, воздушным, железнодорожным, водным транспортом и включает: сеть автомобильных дорог различного значения, железные дороги и водные пути, железнодорожные станции и вокзалы, автовокзалы, аэропорты и вертолетные площадки, речные порты и пристани, различные организации, осуществляющие деятельность по перевозке пассажиров, грузов и функционированию транспортного комплекса.</w:t>
      </w:r>
    </w:p>
    <w:p w:rsidR="004B73EC" w:rsidRDefault="00E124AB">
      <w:pPr>
        <w:spacing w:line="276" w:lineRule="auto"/>
        <w:ind w:firstLine="709"/>
        <w:jc w:val="both"/>
      </w:pPr>
      <w:r>
        <w:rPr>
          <w:sz w:val="28"/>
          <w:szCs w:val="28"/>
          <w:highlight w:val="white"/>
        </w:rPr>
        <w:t>Перевозку пассажиров автомобильным транспортом выполняют 30 предприятий и организаций пассажирского наземного транспорта различных форм собственности, включая 19 индивидуальных предпринимателей. Обес</w:t>
      </w:r>
      <w:r>
        <w:rPr>
          <w:sz w:val="28"/>
          <w:szCs w:val="28"/>
        </w:rPr>
        <w:t>печиваются перевозки по 301 маршруту, в том числе: 108 межмуниципальных (междугородных и пригородных) маршрутов (72 – по регулируемым и 36 – по нерегулируемым тарифам) и 193 городских (</w:t>
      </w:r>
      <w:proofErr w:type="spellStart"/>
      <w:r>
        <w:rPr>
          <w:sz w:val="28"/>
          <w:szCs w:val="28"/>
        </w:rPr>
        <w:t>внутрипоселковых</w:t>
      </w:r>
      <w:proofErr w:type="spellEnd"/>
      <w:r>
        <w:rPr>
          <w:sz w:val="28"/>
          <w:szCs w:val="28"/>
        </w:rPr>
        <w:t>) (171 – по регулируемым и 22 – по нерегулируемым тарифам), годовой объем перевозок пассажиров – более 49 млн пассажиров.</w:t>
      </w:r>
    </w:p>
    <w:p w:rsidR="004B73EC" w:rsidRDefault="00E124AB">
      <w:pPr>
        <w:spacing w:line="276" w:lineRule="auto"/>
        <w:ind w:firstLine="709"/>
        <w:jc w:val="both"/>
        <w:rPr>
          <w:color w:val="FF0000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В автономном округе функционируют 9 аэропортов, 2 </w:t>
      </w:r>
      <w:r w:rsidR="005A2013">
        <w:rPr>
          <w:sz w:val="28"/>
          <w:szCs w:val="28"/>
          <w:highlight w:val="white"/>
        </w:rPr>
        <w:t xml:space="preserve">самолетные </w:t>
      </w:r>
      <w:r>
        <w:rPr>
          <w:sz w:val="28"/>
          <w:szCs w:val="28"/>
          <w:highlight w:val="white"/>
        </w:rPr>
        <w:t xml:space="preserve">посадочные площадки и 75 вертолетных площадок, осуществляющих прием и отправку пассажиров и грузов как по </w:t>
      </w:r>
      <w:proofErr w:type="spellStart"/>
      <w:r>
        <w:rPr>
          <w:sz w:val="28"/>
          <w:szCs w:val="28"/>
          <w:highlight w:val="white"/>
        </w:rPr>
        <w:t>внутриокружным</w:t>
      </w:r>
      <w:proofErr w:type="spellEnd"/>
      <w:r>
        <w:rPr>
          <w:sz w:val="28"/>
          <w:szCs w:val="28"/>
          <w:highlight w:val="white"/>
        </w:rPr>
        <w:t>, так и по региональным маршрутам. Три аэропорта в городах Сургут, Нижневартовск и Ханты-Мансийск имеют статус международных и обеспечивают более 80% всех пассажирских и грузовых авиаперевозок в автономном округе. Ежегодный объем обслуживаемых пассажиров в аэропортах автономног</w:t>
      </w:r>
      <w:r w:rsidR="00331952">
        <w:rPr>
          <w:sz w:val="28"/>
          <w:szCs w:val="28"/>
          <w:highlight w:val="white"/>
        </w:rPr>
        <w:t>о округа составляет более 2 млн</w:t>
      </w:r>
      <w:r>
        <w:rPr>
          <w:sz w:val="28"/>
          <w:szCs w:val="28"/>
          <w:highlight w:val="white"/>
        </w:rPr>
        <w:t xml:space="preserve"> человек, грузовых перевозок – более 4 тыс. тонн.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По внутренним водным путям протяженностью более 6,3 тыс. км ежегодно перевозится более 270 тыс. пассажиров.</w:t>
      </w:r>
      <w:r>
        <w:rPr>
          <w:highlight w:val="white"/>
        </w:rPr>
        <w:t xml:space="preserve"> </w:t>
      </w:r>
      <w:r>
        <w:rPr>
          <w:sz w:val="28"/>
          <w:szCs w:val="28"/>
        </w:rPr>
        <w:t>Помимо пассажирских перевозок обеспечивается доставка промышленных и народно-</w:t>
      </w:r>
      <w:r>
        <w:rPr>
          <w:sz w:val="28"/>
          <w:szCs w:val="28"/>
        </w:rPr>
        <w:lastRenderedPageBreak/>
        <w:t xml:space="preserve">хозяйственных грузов в отдаленные населенные пункты автономного </w:t>
      </w:r>
      <w:r w:rsidR="00331952">
        <w:rPr>
          <w:sz w:val="28"/>
          <w:szCs w:val="28"/>
        </w:rPr>
        <w:t>округа по п</w:t>
      </w:r>
      <w:r>
        <w:rPr>
          <w:sz w:val="28"/>
          <w:szCs w:val="28"/>
        </w:rPr>
        <w:t>рограмме северного завоза, объемы которого ежегодно составляют более 80 тыс. тонн.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bCs/>
          <w:sz w:val="28"/>
          <w:szCs w:val="28"/>
          <w:highlight w:val="white"/>
        </w:rPr>
        <w:t xml:space="preserve">Эксплуатационная длина сети железных дорог общего пользования в автономном округе составляет </w:t>
      </w:r>
      <w:r>
        <w:rPr>
          <w:sz w:val="28"/>
          <w:szCs w:val="28"/>
          <w:highlight w:val="white"/>
        </w:rPr>
        <w:t>1 084,1 км</w:t>
      </w:r>
      <w:r>
        <w:rPr>
          <w:sz w:val="28"/>
          <w:szCs w:val="28"/>
          <w:highlight w:val="white"/>
          <w14:ligatures w14:val="standardContextual"/>
        </w:rPr>
        <w:t>.</w:t>
      </w:r>
      <w:r>
        <w:rPr>
          <w:bCs/>
          <w:sz w:val="28"/>
          <w:szCs w:val="28"/>
          <w:highlight w:val="white"/>
        </w:rPr>
        <w:t xml:space="preserve"> На территории автономного округа общее количество железнодорожных вокзалов и пассажирских зданий составляет 19 объектов, из них 8 железнодорожных вокзалов: Сургут, </w:t>
      </w:r>
      <w:proofErr w:type="spellStart"/>
      <w:r>
        <w:rPr>
          <w:bCs/>
          <w:sz w:val="28"/>
          <w:szCs w:val="28"/>
          <w:highlight w:val="white"/>
        </w:rPr>
        <w:t>Пыть-Ях</w:t>
      </w:r>
      <w:proofErr w:type="spellEnd"/>
      <w:r>
        <w:rPr>
          <w:bCs/>
          <w:sz w:val="28"/>
          <w:szCs w:val="28"/>
          <w:highlight w:val="white"/>
        </w:rPr>
        <w:t xml:space="preserve">, Когалым, Нижневартовск, </w:t>
      </w:r>
      <w:proofErr w:type="spellStart"/>
      <w:r>
        <w:rPr>
          <w:bCs/>
          <w:sz w:val="28"/>
          <w:szCs w:val="28"/>
          <w:highlight w:val="white"/>
        </w:rPr>
        <w:t>Верхнекондинская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Нягань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Приобье</w:t>
      </w:r>
      <w:proofErr w:type="spellEnd"/>
      <w:r>
        <w:rPr>
          <w:bCs/>
          <w:sz w:val="28"/>
          <w:szCs w:val="28"/>
          <w:highlight w:val="white"/>
        </w:rPr>
        <w:t xml:space="preserve">, Геологическая и 11 административных зданий, со встроенными пассажирскими помещениями на </w:t>
      </w:r>
      <w:proofErr w:type="gramStart"/>
      <w:r>
        <w:rPr>
          <w:bCs/>
          <w:sz w:val="28"/>
          <w:szCs w:val="28"/>
          <w:highlight w:val="white"/>
        </w:rPr>
        <w:t>станциях:  Устье</w:t>
      </w:r>
      <w:proofErr w:type="gramEnd"/>
      <w:r>
        <w:rPr>
          <w:bCs/>
          <w:sz w:val="28"/>
          <w:szCs w:val="28"/>
          <w:highlight w:val="white"/>
        </w:rPr>
        <w:t>-</w:t>
      </w:r>
      <w:proofErr w:type="spellStart"/>
      <w:r>
        <w:rPr>
          <w:bCs/>
          <w:sz w:val="28"/>
          <w:szCs w:val="28"/>
          <w:highlight w:val="white"/>
        </w:rPr>
        <w:t>Аха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Алябьево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Вонъеган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Салым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Куть-Ях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Мегион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Куминская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Мортка</w:t>
      </w:r>
      <w:proofErr w:type="spellEnd"/>
      <w:r>
        <w:rPr>
          <w:bCs/>
          <w:sz w:val="28"/>
          <w:szCs w:val="28"/>
          <w:highlight w:val="white"/>
        </w:rPr>
        <w:t xml:space="preserve">, </w:t>
      </w:r>
      <w:proofErr w:type="spellStart"/>
      <w:r>
        <w:rPr>
          <w:bCs/>
          <w:sz w:val="28"/>
          <w:szCs w:val="28"/>
          <w:highlight w:val="white"/>
        </w:rPr>
        <w:t>Ульт-Ягун</w:t>
      </w:r>
      <w:proofErr w:type="spellEnd"/>
      <w:r>
        <w:rPr>
          <w:bCs/>
          <w:sz w:val="28"/>
          <w:szCs w:val="28"/>
          <w:highlight w:val="white"/>
        </w:rPr>
        <w:t xml:space="preserve">, Коммунистическая, </w:t>
      </w:r>
      <w:proofErr w:type="spellStart"/>
      <w:r>
        <w:rPr>
          <w:bCs/>
          <w:sz w:val="28"/>
          <w:szCs w:val="28"/>
          <w:highlight w:val="white"/>
        </w:rPr>
        <w:t>Конд</w:t>
      </w:r>
      <w:r>
        <w:rPr>
          <w:sz w:val="28"/>
          <w:szCs w:val="28"/>
          <w:highlight w:val="white"/>
        </w:rPr>
        <w:t>а</w:t>
      </w:r>
      <w:proofErr w:type="spellEnd"/>
      <w:r>
        <w:rPr>
          <w:sz w:val="28"/>
          <w:szCs w:val="28"/>
          <w:highlight w:val="white"/>
        </w:rPr>
        <w:t>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проблемами развития пассажирских перевозок всеми видами транспорта являются: значительный износ парка транспортных средств, объектов транспортной инфраструктуры, убыточность пассажирских перевозок. Отдельно необходимо выделить общие проблемы аэропортов автономного округа: высокая себестоимость аэропортовых услуг, низкая интенсивность полетов, высокий и</w:t>
      </w:r>
      <w:r w:rsidR="00F46368">
        <w:rPr>
          <w:sz w:val="28"/>
          <w:szCs w:val="28"/>
        </w:rPr>
        <w:t>знос основных фондов аэропортов и</w:t>
      </w:r>
      <w:r>
        <w:rPr>
          <w:sz w:val="28"/>
          <w:szCs w:val="28"/>
        </w:rPr>
        <w:t xml:space="preserve"> искусственных взлетно-посадочных полос, старение парка региональных самолетов, выполняющих перевозки на </w:t>
      </w:r>
      <w:proofErr w:type="spellStart"/>
      <w:r>
        <w:rPr>
          <w:sz w:val="28"/>
          <w:szCs w:val="28"/>
        </w:rPr>
        <w:t>внутриокружных</w:t>
      </w:r>
      <w:proofErr w:type="spellEnd"/>
      <w:r>
        <w:rPr>
          <w:sz w:val="28"/>
          <w:szCs w:val="28"/>
        </w:rPr>
        <w:t xml:space="preserve"> маршрутах.</w:t>
      </w:r>
    </w:p>
    <w:p w:rsidR="004B73EC" w:rsidRDefault="00E124A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Автомобильный транспорт</w:t>
      </w:r>
    </w:p>
    <w:p w:rsidR="004B73EC" w:rsidRDefault="004B73E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заключенными государственными </w:t>
      </w:r>
      <w:proofErr w:type="gramStart"/>
      <w:r>
        <w:rPr>
          <w:sz w:val="28"/>
          <w:szCs w:val="28"/>
        </w:rPr>
        <w:t xml:space="preserve">контрактами  </w:t>
      </w:r>
      <w:r w:rsidR="00F46368">
        <w:rPr>
          <w:sz w:val="28"/>
          <w:szCs w:val="28"/>
        </w:rPr>
        <w:t>из</w:t>
      </w:r>
      <w:proofErr w:type="gramEnd"/>
      <w:r w:rsidR="00F46368">
        <w:rPr>
          <w:sz w:val="28"/>
          <w:szCs w:val="28"/>
        </w:rPr>
        <w:t xml:space="preserve"> бюджета автономного округа </w:t>
      </w:r>
      <w:r>
        <w:rPr>
          <w:sz w:val="28"/>
          <w:szCs w:val="28"/>
        </w:rPr>
        <w:t>осуществлялос</w:t>
      </w:r>
      <w:r w:rsidR="00F46368">
        <w:rPr>
          <w:sz w:val="28"/>
          <w:szCs w:val="28"/>
        </w:rPr>
        <w:t xml:space="preserve">ь финансирование </w:t>
      </w:r>
      <w:r>
        <w:rPr>
          <w:sz w:val="28"/>
          <w:szCs w:val="28"/>
        </w:rPr>
        <w:t>72 социал</w:t>
      </w:r>
      <w:r w:rsidR="00F46368">
        <w:rPr>
          <w:sz w:val="28"/>
          <w:szCs w:val="28"/>
        </w:rPr>
        <w:t>ьно-значимых автобусных маршрутов</w:t>
      </w:r>
      <w:r>
        <w:rPr>
          <w:sz w:val="28"/>
          <w:szCs w:val="28"/>
        </w:rPr>
        <w:t>, что позволило: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сохранить оптимальную сеть социально-значимых пригородных и межмуниципальных автобусных маршрутов, выполняемых пассажирскими автотранспортными предприятиями на территории автономного округа;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обеспечить транспортную доступность населения национальных поселков и сельских поселений к объектам социальной инфраструктуры;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удешевить в среднем на 85,5 % стоимость проезда для граждан на пригородных и межмуниципальных маршрутах. 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Главной целью в развитии конкуренции на рынке услуг перевозок является стимулирование повышения качества услуг, предоставляе</w:t>
      </w:r>
      <w:r w:rsidR="00331952">
        <w:rPr>
          <w:sz w:val="28"/>
          <w:szCs w:val="28"/>
        </w:rPr>
        <w:t>мых перевозчиками населению автономного округа</w:t>
      </w:r>
      <w:r>
        <w:rPr>
          <w:sz w:val="28"/>
          <w:szCs w:val="28"/>
        </w:rPr>
        <w:t>, в том числе с учетом социальной составляющей – наличие оборудования для перевозки лиц с ограниченными возможностями.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рынке оказания услуг по перевозке пассажиров автомобильным транспортом по муниципальным и межмуниципальным маршрутам в автономном округе достигнуты значения ключевых показателей федерального и регионального стандарта развития конкуренции.</w:t>
      </w:r>
    </w:p>
    <w:p w:rsidR="004B73EC" w:rsidRDefault="00E124AB">
      <w:pPr>
        <w:tabs>
          <w:tab w:val="left" w:pos="48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Правительством автономного округа совместно с муниципальными образованиями реализуется Программа развития (модернизации) общественного транспорта автономного округа</w:t>
      </w:r>
      <w:r>
        <w:rPr>
          <w:rStyle w:val="af3"/>
        </w:rPr>
        <w:footnoteReference w:id="1"/>
      </w:r>
      <w:r>
        <w:rPr>
          <w:sz w:val="28"/>
          <w:szCs w:val="28"/>
        </w:rPr>
        <w:t xml:space="preserve"> в целях увеличения к 2030 году в агломерациях и городах доли парка общественного транспорта, имеющего срок эксплуатации не старше нормативного.</w:t>
      </w:r>
    </w:p>
    <w:p w:rsidR="004B73EC" w:rsidRDefault="00E124AB">
      <w:pPr>
        <w:tabs>
          <w:tab w:val="left" w:pos="48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 2025 году парк общественного транспорта, работающего в автономном округе, обновлен на 67 единиц, в том числе:</w:t>
      </w:r>
    </w:p>
    <w:p w:rsidR="004B73EC" w:rsidRPr="00331952" w:rsidRDefault="00331952" w:rsidP="00331952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24AB" w:rsidRPr="00331952">
        <w:rPr>
          <w:sz w:val="28"/>
          <w:szCs w:val="28"/>
        </w:rPr>
        <w:t>7 автобус</w:t>
      </w:r>
      <w:r w:rsidR="00F46368">
        <w:rPr>
          <w:sz w:val="28"/>
          <w:szCs w:val="28"/>
        </w:rPr>
        <w:t>ов малого класса поставлено в город</w:t>
      </w:r>
      <w:r w:rsidR="00E124AB" w:rsidRPr="00331952">
        <w:rPr>
          <w:sz w:val="28"/>
          <w:szCs w:val="28"/>
        </w:rPr>
        <w:t xml:space="preserve"> Когалым за счет льготного лизинга через АО «Государственная транспортная лизинговая компания», предусмотренного федеральным проектом «Развитие общественного транспорта» национального проекта «Инфраструктура для жизни»;</w:t>
      </w:r>
    </w:p>
    <w:p w:rsidR="004B73EC" w:rsidRPr="00331952" w:rsidRDefault="00331952" w:rsidP="00331952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24AB" w:rsidRPr="00331952">
        <w:rPr>
          <w:sz w:val="28"/>
          <w:szCs w:val="28"/>
        </w:rPr>
        <w:t>29 автобусов большого класса, работающих на газомотор</w:t>
      </w:r>
      <w:r w:rsidR="00F46368">
        <w:rPr>
          <w:sz w:val="28"/>
          <w:szCs w:val="28"/>
        </w:rPr>
        <w:t>ном топливе, поставлено в город</w:t>
      </w:r>
      <w:r w:rsidR="00E124AB" w:rsidRPr="00331952">
        <w:rPr>
          <w:sz w:val="28"/>
          <w:szCs w:val="28"/>
        </w:rPr>
        <w:t xml:space="preserve"> Сургут в рамках мероприятия по </w:t>
      </w:r>
      <w:proofErr w:type="gramStart"/>
      <w:r w:rsidR="00E124AB" w:rsidRPr="00331952">
        <w:rPr>
          <w:sz w:val="28"/>
          <w:szCs w:val="28"/>
        </w:rPr>
        <w:t>модернизации  пассажирского</w:t>
      </w:r>
      <w:proofErr w:type="gramEnd"/>
      <w:r w:rsidR="00E124AB" w:rsidRPr="00331952">
        <w:rPr>
          <w:sz w:val="28"/>
          <w:szCs w:val="28"/>
        </w:rPr>
        <w:t xml:space="preserve"> транспорта общего пользования для организации транспортного обслуживания населения в границах городского округа;</w:t>
      </w:r>
    </w:p>
    <w:p w:rsidR="004B73EC" w:rsidRPr="00331952" w:rsidRDefault="00331952" w:rsidP="00331952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124AB" w:rsidRPr="00331952">
        <w:rPr>
          <w:sz w:val="28"/>
          <w:szCs w:val="28"/>
        </w:rPr>
        <w:t xml:space="preserve">31 автобус большого класса, использующий природный газ в качестве моторного топлива, поставлено в город Ханты-Мансийск. </w:t>
      </w:r>
    </w:p>
    <w:p w:rsidR="004B73EC" w:rsidRDefault="00E124AB">
      <w:pPr>
        <w:spacing w:line="276" w:lineRule="auto"/>
        <w:ind w:firstLine="709"/>
        <w:jc w:val="both"/>
        <w:rPr>
          <w:b/>
          <w:bCs/>
        </w:rPr>
      </w:pPr>
      <w:r>
        <w:rPr>
          <w:sz w:val="28"/>
          <w:szCs w:val="28"/>
        </w:rPr>
        <w:t>Таким образом, показатель, характеризующий долю парка общественного транспорта, имеющего срок эксплуатации не старше нормативного, в агломерациях и городах составляет 86 %.</w:t>
      </w:r>
    </w:p>
    <w:p w:rsidR="00331952" w:rsidRDefault="00331952">
      <w:pPr>
        <w:spacing w:line="276" w:lineRule="auto"/>
        <w:jc w:val="center"/>
        <w:rPr>
          <w:b/>
          <w:sz w:val="28"/>
          <w:szCs w:val="28"/>
        </w:rPr>
      </w:pPr>
    </w:p>
    <w:p w:rsidR="004B73EC" w:rsidRDefault="00E124A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Гражданская авиация</w:t>
      </w:r>
    </w:p>
    <w:p w:rsidR="004B73EC" w:rsidRDefault="004B73E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осуществлялось субсидирование организаций воздушного транспорта в целях удешевления перевозок по межмуниципальным маршрутам на территории автономного округа и региональным маршрутам, возмещения затрат от основной деятельности аэропортов, находящихся в собственности автономного округа. </w:t>
      </w:r>
    </w:p>
    <w:p w:rsidR="004B73EC" w:rsidRDefault="00E124AB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2025 году организованы пассажирские перевозки по 38 межмуниципальным, 27 региональным, 9 региональным маршрутам (между </w:t>
      </w:r>
      <w:r w:rsidR="00331952">
        <w:rPr>
          <w:sz w:val="28"/>
          <w:szCs w:val="28"/>
        </w:rPr>
        <w:t>городами автономного округа и городом</w:t>
      </w:r>
      <w:r>
        <w:rPr>
          <w:sz w:val="28"/>
          <w:szCs w:val="28"/>
        </w:rPr>
        <w:t xml:space="preserve"> Тюмень) и по 1 международному </w:t>
      </w:r>
      <w:r>
        <w:rPr>
          <w:sz w:val="28"/>
          <w:szCs w:val="28"/>
        </w:rPr>
        <w:lastRenderedPageBreak/>
        <w:t>маршруту.</w:t>
      </w:r>
    </w:p>
    <w:p w:rsidR="004B73EC" w:rsidRDefault="00E124AB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субсидий позволило удешевить стоимость авиабилетов в среднем на 77 %, при этом наибольший процент удешевления приходится на вертоле</w:t>
      </w:r>
      <w:bookmarkStart w:id="0" w:name="_GoBack"/>
      <w:bookmarkEnd w:id="0"/>
      <w:r>
        <w:rPr>
          <w:sz w:val="28"/>
          <w:szCs w:val="28"/>
        </w:rPr>
        <w:t>тный сегмент – до 88 %.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В аэропорту </w:t>
      </w:r>
      <w:proofErr w:type="spellStart"/>
      <w:r>
        <w:rPr>
          <w:sz w:val="28"/>
          <w:szCs w:val="20"/>
        </w:rPr>
        <w:t>пгт</w:t>
      </w:r>
      <w:proofErr w:type="spellEnd"/>
      <w:r>
        <w:rPr>
          <w:sz w:val="28"/>
          <w:szCs w:val="20"/>
        </w:rPr>
        <w:t>. Березово в декабре 2025 года реализованы мероприятия по капитальному ремонту грунтовой взлетно-посадочной полосы.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возмещены фактические затраты от аэропортовой деятельности 4 аэропортов, находящихся в собственности автономного округа, что позволило обеспечить стабильную работу и бесперебойное обслужив</w:t>
      </w:r>
      <w:r w:rsidR="00F46368">
        <w:rPr>
          <w:sz w:val="28"/>
          <w:szCs w:val="28"/>
        </w:rPr>
        <w:t>ание авиапассажиров, приобрести специальную технику</w:t>
      </w:r>
      <w:r>
        <w:rPr>
          <w:sz w:val="28"/>
          <w:szCs w:val="28"/>
        </w:rPr>
        <w:t xml:space="preserve"> и технические средства защиты для аэропортов автономного округа Белоярский, Когалы</w:t>
      </w:r>
      <w:r w:rsidR="00331952">
        <w:rPr>
          <w:sz w:val="28"/>
          <w:szCs w:val="28"/>
        </w:rPr>
        <w:t xml:space="preserve">м, </w:t>
      </w:r>
      <w:proofErr w:type="spellStart"/>
      <w:r w:rsidR="00331952">
        <w:rPr>
          <w:sz w:val="28"/>
          <w:szCs w:val="28"/>
        </w:rPr>
        <w:t>Нягань</w:t>
      </w:r>
      <w:proofErr w:type="spellEnd"/>
      <w:r w:rsidR="00331952">
        <w:rPr>
          <w:sz w:val="28"/>
          <w:szCs w:val="28"/>
        </w:rPr>
        <w:t xml:space="preserve">, </w:t>
      </w:r>
      <w:proofErr w:type="spellStart"/>
      <w:r w:rsidR="00331952">
        <w:rPr>
          <w:sz w:val="28"/>
          <w:szCs w:val="28"/>
        </w:rPr>
        <w:t>Урай</w:t>
      </w:r>
      <w:proofErr w:type="spellEnd"/>
      <w:r w:rsidR="00331952">
        <w:rPr>
          <w:sz w:val="28"/>
          <w:szCs w:val="28"/>
        </w:rPr>
        <w:t>, Ханты-Мансийск</w:t>
      </w:r>
      <w:r>
        <w:rPr>
          <w:sz w:val="28"/>
          <w:szCs w:val="28"/>
        </w:rPr>
        <w:t xml:space="preserve"> для обеспечения качества и безопасности транспортного обслуживания населения. </w:t>
      </w:r>
    </w:p>
    <w:p w:rsidR="004B73EC" w:rsidRDefault="004B73EC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</w:p>
    <w:p w:rsidR="004B73EC" w:rsidRDefault="00E124AB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>Водный транспорт</w:t>
      </w:r>
    </w:p>
    <w:p w:rsidR="004B73EC" w:rsidRDefault="004B73EC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:rsidR="004B73EC" w:rsidRDefault="00E124A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Основным перевозчиком внутренним водным транспортом на территории автономного округа, осуществляющим перевозки пассажиров на регулярных маршрутах, является АО «</w:t>
      </w:r>
      <w:proofErr w:type="spellStart"/>
      <w:r>
        <w:rPr>
          <w:rFonts w:eastAsia="Calibri"/>
          <w:sz w:val="28"/>
          <w:szCs w:val="28"/>
        </w:rPr>
        <w:t>Северречфлот</w:t>
      </w:r>
      <w:proofErr w:type="spellEnd"/>
      <w:r>
        <w:rPr>
          <w:rFonts w:eastAsia="Calibri"/>
          <w:sz w:val="28"/>
          <w:szCs w:val="28"/>
        </w:rPr>
        <w:t xml:space="preserve">», которым осуществляется поэтапное обновление речного пассажирского флота: </w:t>
      </w:r>
      <w:r>
        <w:rPr>
          <w:sz w:val="28"/>
          <w:szCs w:val="28"/>
        </w:rPr>
        <w:t xml:space="preserve">в 2025 году введены в эксплуатацию 2 скоростных судна на подводных крыльях «Метеор-2020», приобретенных посредством механизма лизинга; приобретены 4 судна на воздушной подушке и модульное здание для ожидания пассажирами судов в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>.</w:t>
      </w:r>
    </w:p>
    <w:p w:rsidR="004B73EC" w:rsidRDefault="00E124A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Эксплуатируемый парк пассажирского флота АО «</w:t>
      </w:r>
      <w:proofErr w:type="spellStart"/>
      <w:r>
        <w:rPr>
          <w:rFonts w:eastAsia="Calibri"/>
          <w:sz w:val="28"/>
          <w:szCs w:val="28"/>
        </w:rPr>
        <w:t>Северречфлот</w:t>
      </w:r>
      <w:proofErr w:type="spellEnd"/>
      <w:r>
        <w:rPr>
          <w:rFonts w:eastAsia="Calibri"/>
          <w:sz w:val="28"/>
          <w:szCs w:val="28"/>
        </w:rPr>
        <w:t xml:space="preserve">» (28 ед.) – скоростные суда на подводных крыльях «Метеор», «Восход» и «Ракета», глиссирующие суда «Заря» и суда на воздушной каверне «Линда», а также суда на подводных крыльях нового судостроения «Валдай 45Р», суда на воздушной подушке, </w:t>
      </w:r>
      <w:r w:rsidR="00F46368">
        <w:rPr>
          <w:rFonts w:eastAsia="Calibri"/>
          <w:sz w:val="28"/>
          <w:szCs w:val="28"/>
        </w:rPr>
        <w:t xml:space="preserve">работающие </w:t>
      </w:r>
      <w:r>
        <w:rPr>
          <w:rFonts w:eastAsia="Calibri"/>
          <w:sz w:val="28"/>
          <w:szCs w:val="28"/>
        </w:rPr>
        <w:t>в навигационный период, а также в межнавигационный период до установления зимних автомобильных дорог.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усиления системы защиты от </w:t>
      </w:r>
      <w:r w:rsidR="00331952">
        <w:rPr>
          <w:sz w:val="28"/>
          <w:szCs w:val="28"/>
        </w:rPr>
        <w:t>актов незаконного вмешательства</w:t>
      </w:r>
      <w:r>
        <w:rPr>
          <w:sz w:val="28"/>
          <w:szCs w:val="28"/>
        </w:rPr>
        <w:t xml:space="preserve"> поставлено специализированное оборудование на объекты транспортной инфраструктуры водного транспорта.</w:t>
      </w:r>
    </w:p>
    <w:p w:rsidR="004B73EC" w:rsidRDefault="00E124AB">
      <w:pPr>
        <w:tabs>
          <w:tab w:val="left" w:pos="4820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Осуществлялось субсидирование организаций водного транспорта на возмещение недополученных доходов, связанных с осуществлением пассажирских перевозок по субсидируемым маршрутам в границах </w:t>
      </w:r>
      <w:r>
        <w:rPr>
          <w:sz w:val="28"/>
          <w:szCs w:val="28"/>
        </w:rPr>
        <w:lastRenderedPageBreak/>
        <w:t>автономного округа. Предоставленная субсидия позволила удешевить стоимость проезда на водном транспорте в среднем на 86 %.</w:t>
      </w:r>
    </w:p>
    <w:p w:rsidR="004B73EC" w:rsidRDefault="00E124A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2025 году обслужено 16 межмуниципальных и 12 внутрирайонных пассажирских маршрутов. Маршрутная сеть водного транспорта охватывает более 80 населенных пунктов автономного округа.</w:t>
      </w:r>
    </w:p>
    <w:p w:rsidR="004B73EC" w:rsidRDefault="00E124A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Обеспечено содержание в навигацию 2025 года 25 участков внутренних водных путей федерального и регионального значения общей протяженностью 1 539 км и 8 участков водных путей регионального значения общей протяженностью 83,7 км.</w:t>
      </w:r>
    </w:p>
    <w:p w:rsidR="004B73EC" w:rsidRDefault="00E124A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отчетном периоде приобретены технические средства защиты для АО «</w:t>
      </w:r>
      <w:proofErr w:type="spellStart"/>
      <w:r>
        <w:rPr>
          <w:rFonts w:eastAsia="Calibri"/>
          <w:sz w:val="28"/>
          <w:szCs w:val="28"/>
        </w:rPr>
        <w:t>Сев</w:t>
      </w:r>
      <w:r w:rsidR="00DC6AC8">
        <w:rPr>
          <w:rFonts w:eastAsia="Calibri"/>
          <w:sz w:val="28"/>
          <w:szCs w:val="28"/>
        </w:rPr>
        <w:t>ерречфлот</w:t>
      </w:r>
      <w:proofErr w:type="spellEnd"/>
      <w:r w:rsidR="00DC6AC8">
        <w:rPr>
          <w:rFonts w:eastAsia="Calibri"/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 xml:space="preserve">для обеспечения качества и безопасности транспортного обслуживания населения. </w:t>
      </w:r>
    </w:p>
    <w:p w:rsidR="004B73EC" w:rsidRDefault="004B73EC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:rsidR="004B73EC" w:rsidRDefault="00E124AB">
      <w:pPr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sz w:val="28"/>
          <w:szCs w:val="28"/>
        </w:rPr>
        <w:t>Железнодорожный транспорт</w:t>
      </w:r>
    </w:p>
    <w:p w:rsidR="004B73EC" w:rsidRDefault="004B73EC">
      <w:pPr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</w:rPr>
      </w:pPr>
    </w:p>
    <w:p w:rsidR="004B73EC" w:rsidRDefault="00E124AB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2025 г</w:t>
      </w:r>
      <w:r w:rsidR="00331952">
        <w:rPr>
          <w:rFonts w:eastAsia="Calibri"/>
          <w:sz w:val="28"/>
          <w:szCs w:val="28"/>
        </w:rPr>
        <w:t>оду за счет средств бюджета автономного округа</w:t>
      </w:r>
      <w:r>
        <w:rPr>
          <w:rFonts w:eastAsia="Calibri"/>
          <w:sz w:val="28"/>
          <w:szCs w:val="28"/>
        </w:rPr>
        <w:t xml:space="preserve"> предоставлена субсидия организациям железнодорожного транспорта в целях сохранения доступности пассажирских перевозок железнодорожным транспортом в автономном округе пригородным сообщением по 9 маршрутам. 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Субсидирование пассажирских перевозок позволило сохранить уровень доступности перевозок в пределах автономного округа и снизить тарифы на перевозку пассажиров и багажа железнодорожным транспортом в пригородном сообщении за 12 месяцев 2025 года в среднем на 78,1 %.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Также предоставлены субсидии на возмещение недополученных доходов, возникших при оплате проезда железнодорожным транспортом в пригородном сообщении обучающимся</w:t>
      </w:r>
      <w:r w:rsidR="00F46368">
        <w:rPr>
          <w:sz w:val="28"/>
          <w:szCs w:val="28"/>
          <w:highlight w:val="white"/>
        </w:rPr>
        <w:t>,</w:t>
      </w:r>
      <w:r>
        <w:rPr>
          <w:sz w:val="28"/>
          <w:szCs w:val="28"/>
          <w:highlight w:val="white"/>
        </w:rPr>
        <w:t xml:space="preserve"> в размере 50 % от действующего тарифа.</w:t>
      </w:r>
    </w:p>
    <w:p w:rsidR="004B73EC" w:rsidRDefault="00E124A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>В целях повышения качества транспортного обслуживания населения железнодорожным транспортом в пригородном сообщении при финансовой поддержке Правительства автономного округа АО «Свердловская пригородная компания» в 202</w:t>
      </w:r>
      <w:r>
        <w:rPr>
          <w:color w:val="000000"/>
          <w:sz w:val="28"/>
          <w:highlight w:val="white"/>
        </w:rPr>
        <w:t xml:space="preserve">5 году </w:t>
      </w:r>
      <w:r>
        <w:rPr>
          <w:rFonts w:eastAsia="Calibri"/>
          <w:sz w:val="28"/>
          <w:szCs w:val="28"/>
          <w:highlight w:val="white"/>
        </w:rPr>
        <w:t xml:space="preserve">введены в эксплуатацию 4 новых пассажирских вагона для </w:t>
      </w:r>
      <w:proofErr w:type="spellStart"/>
      <w:r>
        <w:rPr>
          <w:rFonts w:eastAsia="Calibri"/>
          <w:sz w:val="28"/>
          <w:szCs w:val="28"/>
          <w:highlight w:val="white"/>
        </w:rPr>
        <w:t>курсирования</w:t>
      </w:r>
      <w:proofErr w:type="spellEnd"/>
      <w:r>
        <w:rPr>
          <w:rFonts w:eastAsia="Calibri"/>
          <w:sz w:val="28"/>
          <w:szCs w:val="28"/>
          <w:highlight w:val="white"/>
        </w:rPr>
        <w:t xml:space="preserve"> на маршрутах пригородного сообщения Сургут – </w:t>
      </w:r>
      <w:proofErr w:type="spellStart"/>
      <w:proofErr w:type="gramStart"/>
      <w:r>
        <w:rPr>
          <w:rFonts w:eastAsia="Calibri"/>
          <w:sz w:val="28"/>
          <w:szCs w:val="28"/>
          <w:highlight w:val="white"/>
        </w:rPr>
        <w:t>Куть-Ях</w:t>
      </w:r>
      <w:proofErr w:type="spellEnd"/>
      <w:proofErr w:type="gramEnd"/>
      <w:r>
        <w:rPr>
          <w:color w:val="000000"/>
          <w:sz w:val="28"/>
          <w:highlight w:val="white"/>
        </w:rPr>
        <w:t>.</w:t>
      </w:r>
      <w:r>
        <w:rPr>
          <w:color w:val="000000"/>
          <w:sz w:val="28"/>
        </w:rPr>
        <w:t xml:space="preserve"> </w:t>
      </w:r>
    </w:p>
    <w:p w:rsidR="004B73EC" w:rsidRDefault="00E124AB">
      <w:pPr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По итогам реализации мероприятий Государственной программы автономного округа «Современная транспортная система» в сфере транспорта в 2025 году объем пассажирских перевозок автомобильным, воздушным, водным транспортом в межмуниципальном и пригородном </w:t>
      </w:r>
      <w:r>
        <w:rPr>
          <w:sz w:val="28"/>
          <w:szCs w:val="28"/>
          <w:highlight w:val="white"/>
        </w:rPr>
        <w:lastRenderedPageBreak/>
        <w:t>сообщении и железнодорожным транспортом в пригородном сообщении, а также воздушным транспортом по региональным маршрутам, субсидируемым из бюджета автономного округа составил более 3,5 млн человек.</w:t>
      </w:r>
    </w:p>
    <w:p w:rsidR="004B73EC" w:rsidRDefault="00E124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76" w:lineRule="auto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Финансирование пассажирских перевозок из бюджета автономного округа позволило удешевить в среднем на 81,65 % стоимость проезда всеми видами транспорта для граждан, обеспечена транспортная доступность населенных пунктов и сельских поселений, не имеющих круглогодичной связи, по зимним автомобильным дорогам и ледовым переправам к объектам социальной инфраструктуры.</w:t>
      </w:r>
    </w:p>
    <w:p w:rsidR="004B73EC" w:rsidRDefault="004B73EC">
      <w:pPr>
        <w:tabs>
          <w:tab w:val="left" w:pos="426"/>
        </w:tabs>
        <w:spacing w:line="276" w:lineRule="auto"/>
        <w:ind w:firstLine="709"/>
        <w:jc w:val="both"/>
        <w:rPr>
          <w:sz w:val="28"/>
          <w:szCs w:val="28"/>
          <w:highlight w:val="white"/>
        </w:rPr>
      </w:pPr>
    </w:p>
    <w:sectPr w:rsidR="004B73EC">
      <w:headerReference w:type="default" r:id="rId7"/>
      <w:pgSz w:w="11906" w:h="16838"/>
      <w:pgMar w:top="1417" w:right="1276" w:bottom="1134" w:left="155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BE0" w:rsidRDefault="00980BE0">
      <w:r>
        <w:separator/>
      </w:r>
    </w:p>
  </w:endnote>
  <w:endnote w:type="continuationSeparator" w:id="0">
    <w:p w:rsidR="00980BE0" w:rsidRDefault="0098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BE0" w:rsidRDefault="00980BE0">
      <w:r>
        <w:separator/>
      </w:r>
    </w:p>
  </w:footnote>
  <w:footnote w:type="continuationSeparator" w:id="0">
    <w:p w:rsidR="00980BE0" w:rsidRDefault="00980BE0">
      <w:r>
        <w:continuationSeparator/>
      </w:r>
    </w:p>
  </w:footnote>
  <w:footnote w:id="1">
    <w:p w:rsidR="004B73EC" w:rsidRDefault="00E124AB">
      <w:pPr>
        <w:pStyle w:val="af1"/>
        <w:jc w:val="both"/>
      </w:pPr>
      <w:r>
        <w:rPr>
          <w:rStyle w:val="af3"/>
        </w:rPr>
        <w:footnoteRef/>
      </w:r>
      <w:r>
        <w:t xml:space="preserve"> Постановление Правительства автономного округа от 29 сентября 2025 года № 376-п «О программе развития (модернизации) общественного транспорта Ханты-Мансийского автономного округа – Югры».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3EC" w:rsidRDefault="00E124AB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5A2013">
      <w:rPr>
        <w:noProof/>
      </w:rPr>
      <w:t>6</w:t>
    </w:r>
    <w:r>
      <w:fldChar w:fldCharType="end"/>
    </w:r>
  </w:p>
  <w:p w:rsidR="004B73EC" w:rsidRDefault="004B73E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F20A1"/>
    <w:multiLevelType w:val="hybridMultilevel"/>
    <w:tmpl w:val="174281C0"/>
    <w:lvl w:ilvl="0" w:tplc="49F6BF20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D0BC757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51854E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8E8BAA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5B4903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15E2D2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08621C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26404A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7D96698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277D26CC"/>
    <w:multiLevelType w:val="hybridMultilevel"/>
    <w:tmpl w:val="4776044E"/>
    <w:lvl w:ilvl="0" w:tplc="5C9C2E76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EBC68D4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FD1A63EC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AEA437C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8AA8D8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499C433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D56B1B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2F24F1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E3AA21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3B9B72E8"/>
    <w:multiLevelType w:val="hybridMultilevel"/>
    <w:tmpl w:val="E22C50BA"/>
    <w:lvl w:ilvl="0" w:tplc="6D06040C">
      <w:start w:val="1"/>
      <w:numFmt w:val="decimal"/>
      <w:lvlText w:val="%1."/>
      <w:lvlJc w:val="left"/>
      <w:rPr>
        <w:strike w:val="0"/>
        <w:sz w:val="28"/>
      </w:rPr>
    </w:lvl>
    <w:lvl w:ilvl="1" w:tplc="B5CE1576">
      <w:start w:val="1"/>
      <w:numFmt w:val="lowerLetter"/>
      <w:lvlText w:val="%2."/>
      <w:lvlJc w:val="left"/>
      <w:pPr>
        <w:ind w:left="1440" w:hanging="360"/>
      </w:pPr>
    </w:lvl>
    <w:lvl w:ilvl="2" w:tplc="D792B290">
      <w:start w:val="1"/>
      <w:numFmt w:val="lowerRoman"/>
      <w:lvlText w:val="%3."/>
      <w:lvlJc w:val="right"/>
      <w:pPr>
        <w:ind w:left="2160" w:hanging="180"/>
      </w:pPr>
    </w:lvl>
    <w:lvl w:ilvl="3" w:tplc="DA463E94">
      <w:start w:val="1"/>
      <w:numFmt w:val="decimal"/>
      <w:lvlText w:val="%4."/>
      <w:lvlJc w:val="left"/>
      <w:pPr>
        <w:ind w:left="2880" w:hanging="360"/>
      </w:pPr>
    </w:lvl>
    <w:lvl w:ilvl="4" w:tplc="0366979A">
      <w:start w:val="1"/>
      <w:numFmt w:val="lowerLetter"/>
      <w:lvlText w:val="%5."/>
      <w:lvlJc w:val="left"/>
      <w:pPr>
        <w:ind w:left="3600" w:hanging="360"/>
      </w:pPr>
    </w:lvl>
    <w:lvl w:ilvl="5" w:tplc="73E0E71C">
      <w:start w:val="1"/>
      <w:numFmt w:val="lowerRoman"/>
      <w:lvlText w:val="%6."/>
      <w:lvlJc w:val="right"/>
      <w:pPr>
        <w:ind w:left="4320" w:hanging="180"/>
      </w:pPr>
    </w:lvl>
    <w:lvl w:ilvl="6" w:tplc="ACBAEC78">
      <w:start w:val="1"/>
      <w:numFmt w:val="decimal"/>
      <w:lvlText w:val="%7."/>
      <w:lvlJc w:val="left"/>
      <w:pPr>
        <w:ind w:left="5040" w:hanging="360"/>
      </w:pPr>
    </w:lvl>
    <w:lvl w:ilvl="7" w:tplc="64906516">
      <w:start w:val="1"/>
      <w:numFmt w:val="lowerLetter"/>
      <w:lvlText w:val="%8."/>
      <w:lvlJc w:val="left"/>
      <w:pPr>
        <w:ind w:left="5760" w:hanging="360"/>
      </w:pPr>
    </w:lvl>
    <w:lvl w:ilvl="8" w:tplc="89C4BEC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06DD0"/>
    <w:multiLevelType w:val="hybridMultilevel"/>
    <w:tmpl w:val="39E455E4"/>
    <w:lvl w:ilvl="0" w:tplc="A754CCA0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A31620F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FD205A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69C0591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E50B48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50E85C3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26722A2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019C3FD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37F88D3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4570212E"/>
    <w:multiLevelType w:val="hybridMultilevel"/>
    <w:tmpl w:val="338E5D92"/>
    <w:lvl w:ilvl="0" w:tplc="30520F60">
      <w:start w:val="1"/>
      <w:numFmt w:val="bullet"/>
      <w:lvlText w:val="–"/>
      <w:lvlJc w:val="left"/>
      <w:pPr>
        <w:ind w:left="1276" w:hanging="360"/>
      </w:pPr>
      <w:rPr>
        <w:rFonts w:ascii="Arial" w:eastAsia="Arial" w:hAnsi="Arial" w:cs="Arial" w:hint="default"/>
      </w:rPr>
    </w:lvl>
    <w:lvl w:ilvl="1" w:tplc="503A0F72">
      <w:start w:val="1"/>
      <w:numFmt w:val="bullet"/>
      <w:lvlText w:val="o"/>
      <w:lvlJc w:val="left"/>
      <w:pPr>
        <w:ind w:left="1996" w:hanging="360"/>
      </w:pPr>
      <w:rPr>
        <w:rFonts w:ascii="Courier New" w:eastAsia="Courier New" w:hAnsi="Courier New" w:cs="Courier New" w:hint="default"/>
      </w:rPr>
    </w:lvl>
    <w:lvl w:ilvl="2" w:tplc="DCF2B38E">
      <w:start w:val="1"/>
      <w:numFmt w:val="bullet"/>
      <w:lvlText w:val="§"/>
      <w:lvlJc w:val="left"/>
      <w:pPr>
        <w:ind w:left="2716" w:hanging="360"/>
      </w:pPr>
      <w:rPr>
        <w:rFonts w:ascii="Wingdings" w:eastAsia="Wingdings" w:hAnsi="Wingdings" w:cs="Wingdings" w:hint="default"/>
      </w:rPr>
    </w:lvl>
    <w:lvl w:ilvl="3" w:tplc="F7200C26">
      <w:start w:val="1"/>
      <w:numFmt w:val="bullet"/>
      <w:lvlText w:val="·"/>
      <w:lvlJc w:val="left"/>
      <w:pPr>
        <w:ind w:left="3436" w:hanging="360"/>
      </w:pPr>
      <w:rPr>
        <w:rFonts w:ascii="Symbol" w:eastAsia="Symbol" w:hAnsi="Symbol" w:cs="Symbol" w:hint="default"/>
      </w:rPr>
    </w:lvl>
    <w:lvl w:ilvl="4" w:tplc="662E7572">
      <w:start w:val="1"/>
      <w:numFmt w:val="bullet"/>
      <w:lvlText w:val="o"/>
      <w:lvlJc w:val="left"/>
      <w:pPr>
        <w:ind w:left="4156" w:hanging="360"/>
      </w:pPr>
      <w:rPr>
        <w:rFonts w:ascii="Courier New" w:eastAsia="Courier New" w:hAnsi="Courier New" w:cs="Courier New" w:hint="default"/>
      </w:rPr>
    </w:lvl>
    <w:lvl w:ilvl="5" w:tplc="3B8E35B6">
      <w:start w:val="1"/>
      <w:numFmt w:val="bullet"/>
      <w:lvlText w:val="§"/>
      <w:lvlJc w:val="left"/>
      <w:pPr>
        <w:ind w:left="4876" w:hanging="360"/>
      </w:pPr>
      <w:rPr>
        <w:rFonts w:ascii="Wingdings" w:eastAsia="Wingdings" w:hAnsi="Wingdings" w:cs="Wingdings" w:hint="default"/>
      </w:rPr>
    </w:lvl>
    <w:lvl w:ilvl="6" w:tplc="EEFA953E">
      <w:start w:val="1"/>
      <w:numFmt w:val="bullet"/>
      <w:lvlText w:val="·"/>
      <w:lvlJc w:val="left"/>
      <w:pPr>
        <w:ind w:left="5596" w:hanging="360"/>
      </w:pPr>
      <w:rPr>
        <w:rFonts w:ascii="Symbol" w:eastAsia="Symbol" w:hAnsi="Symbol" w:cs="Symbol" w:hint="default"/>
      </w:rPr>
    </w:lvl>
    <w:lvl w:ilvl="7" w:tplc="FBE8AD2C">
      <w:start w:val="1"/>
      <w:numFmt w:val="bullet"/>
      <w:lvlText w:val="o"/>
      <w:lvlJc w:val="left"/>
      <w:pPr>
        <w:ind w:left="6316" w:hanging="360"/>
      </w:pPr>
      <w:rPr>
        <w:rFonts w:ascii="Courier New" w:eastAsia="Courier New" w:hAnsi="Courier New" w:cs="Courier New" w:hint="default"/>
      </w:rPr>
    </w:lvl>
    <w:lvl w:ilvl="8" w:tplc="1DB618C6">
      <w:start w:val="1"/>
      <w:numFmt w:val="bullet"/>
      <w:lvlText w:val="§"/>
      <w:lvlJc w:val="left"/>
      <w:pPr>
        <w:ind w:left="7036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CA51A8E"/>
    <w:multiLevelType w:val="hybridMultilevel"/>
    <w:tmpl w:val="CCEC2A40"/>
    <w:lvl w:ilvl="0" w:tplc="40A20A54">
      <w:start w:val="1"/>
      <w:numFmt w:val="bullet"/>
      <w:lvlText w:val="–"/>
      <w:lvlJc w:val="left"/>
      <w:pPr>
        <w:ind w:left="1417" w:hanging="360"/>
      </w:pPr>
      <w:rPr>
        <w:rFonts w:ascii="Liberation Sans" w:eastAsia="Liberation Sans" w:hAnsi="Liberation Sans" w:cs="Liberation Sans" w:hint="default"/>
      </w:rPr>
    </w:lvl>
    <w:lvl w:ilvl="1" w:tplc="985467B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9740E224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FD02C6B4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7EC24042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7534AA2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C134856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9FB8DCC0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6B7E47F4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65BE6551"/>
    <w:multiLevelType w:val="hybridMultilevel"/>
    <w:tmpl w:val="64545D5E"/>
    <w:lvl w:ilvl="0" w:tplc="661E15C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073CC610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092E6A56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482CD7C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9A7895E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04ECAE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4C01968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1758FBE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9F6EB67A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665509B3"/>
    <w:multiLevelType w:val="hybridMultilevel"/>
    <w:tmpl w:val="927C25D0"/>
    <w:lvl w:ilvl="0" w:tplc="1F7096E0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72F4629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BB9493C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73E0B160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058262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CDD633B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B40EFC1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7FC4247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220018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708B4BC5"/>
    <w:multiLevelType w:val="hybridMultilevel"/>
    <w:tmpl w:val="32AECB68"/>
    <w:lvl w:ilvl="0" w:tplc="05804198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C81454B6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C1A689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04FE0422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00005174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3112D17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E4DA1D5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3E2E61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8586DD2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733C0320"/>
    <w:multiLevelType w:val="hybridMultilevel"/>
    <w:tmpl w:val="224E8EEC"/>
    <w:lvl w:ilvl="0" w:tplc="8C620F54">
      <w:start w:val="1"/>
      <w:numFmt w:val="bullet"/>
      <w:lvlText w:val="–"/>
      <w:lvlJc w:val="left"/>
      <w:pPr>
        <w:ind w:left="1418" w:hanging="360"/>
      </w:pPr>
      <w:rPr>
        <w:rFonts w:ascii="Times New Roman" w:eastAsia="Times New Roman" w:hAnsi="Times New Roman" w:cs="Times New Roman" w:hint="default"/>
        <w:sz w:val="28"/>
      </w:rPr>
    </w:lvl>
    <w:lvl w:ilvl="1" w:tplc="7BF836C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22BA882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BC3CD61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4B52DF3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F7D8CFA2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886F176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F766F1A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4E64B8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79E35147"/>
    <w:multiLevelType w:val="hybridMultilevel"/>
    <w:tmpl w:val="D2A242E4"/>
    <w:lvl w:ilvl="0" w:tplc="74BE1D58">
      <w:start w:val="1"/>
      <w:numFmt w:val="bullet"/>
      <w:lvlText w:val="–"/>
      <w:lvlJc w:val="left"/>
      <w:pPr>
        <w:ind w:left="1418" w:hanging="360"/>
      </w:pPr>
      <w:rPr>
        <w:rFonts w:ascii="Liberation Sans" w:eastAsia="Liberation Sans" w:hAnsi="Liberation Sans" w:cs="Liberation Sans" w:hint="default"/>
      </w:rPr>
    </w:lvl>
    <w:lvl w:ilvl="1" w:tplc="15CA4F3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6F1AB110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B02F43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52C654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D8EC563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CD61834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E9FA9EA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144D1B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7BC50B3C"/>
    <w:multiLevelType w:val="hybridMultilevel"/>
    <w:tmpl w:val="7E1C8AFE"/>
    <w:lvl w:ilvl="0" w:tplc="9F003DE2">
      <w:start w:val="1"/>
      <w:numFmt w:val="decimal"/>
      <w:lvlText w:val="%1."/>
      <w:lvlJc w:val="left"/>
      <w:pPr>
        <w:ind w:left="1418" w:hanging="360"/>
      </w:pPr>
    </w:lvl>
    <w:lvl w:ilvl="1" w:tplc="6F8CDF70">
      <w:start w:val="1"/>
      <w:numFmt w:val="lowerLetter"/>
      <w:lvlText w:val="%2."/>
      <w:lvlJc w:val="left"/>
      <w:pPr>
        <w:ind w:left="2138" w:hanging="360"/>
      </w:pPr>
    </w:lvl>
    <w:lvl w:ilvl="2" w:tplc="875C5B60">
      <w:start w:val="1"/>
      <w:numFmt w:val="lowerRoman"/>
      <w:lvlText w:val="%3."/>
      <w:lvlJc w:val="right"/>
      <w:pPr>
        <w:ind w:left="2858" w:hanging="180"/>
      </w:pPr>
    </w:lvl>
    <w:lvl w:ilvl="3" w:tplc="DDDAB652">
      <w:start w:val="1"/>
      <w:numFmt w:val="decimal"/>
      <w:lvlText w:val="%4."/>
      <w:lvlJc w:val="left"/>
      <w:pPr>
        <w:ind w:left="3578" w:hanging="360"/>
      </w:pPr>
    </w:lvl>
    <w:lvl w:ilvl="4" w:tplc="0750F5F8">
      <w:start w:val="1"/>
      <w:numFmt w:val="lowerLetter"/>
      <w:lvlText w:val="%5."/>
      <w:lvlJc w:val="left"/>
      <w:pPr>
        <w:ind w:left="4298" w:hanging="360"/>
      </w:pPr>
    </w:lvl>
    <w:lvl w:ilvl="5" w:tplc="E97CDA94">
      <w:start w:val="1"/>
      <w:numFmt w:val="lowerRoman"/>
      <w:lvlText w:val="%6."/>
      <w:lvlJc w:val="right"/>
      <w:pPr>
        <w:ind w:left="5018" w:hanging="180"/>
      </w:pPr>
    </w:lvl>
    <w:lvl w:ilvl="6" w:tplc="E118D3AC">
      <w:start w:val="1"/>
      <w:numFmt w:val="decimal"/>
      <w:lvlText w:val="%7."/>
      <w:lvlJc w:val="left"/>
      <w:pPr>
        <w:ind w:left="5738" w:hanging="360"/>
      </w:pPr>
    </w:lvl>
    <w:lvl w:ilvl="7" w:tplc="FADEE018">
      <w:start w:val="1"/>
      <w:numFmt w:val="lowerLetter"/>
      <w:lvlText w:val="%8."/>
      <w:lvlJc w:val="left"/>
      <w:pPr>
        <w:ind w:left="6458" w:hanging="360"/>
      </w:pPr>
    </w:lvl>
    <w:lvl w:ilvl="8" w:tplc="8D124F5C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11"/>
  </w:num>
  <w:num w:numId="6">
    <w:abstractNumId w:val="9"/>
  </w:num>
  <w:num w:numId="7">
    <w:abstractNumId w:val="0"/>
  </w:num>
  <w:num w:numId="8">
    <w:abstractNumId w:val="10"/>
  </w:num>
  <w:num w:numId="9">
    <w:abstractNumId w:val="3"/>
  </w:num>
  <w:num w:numId="10">
    <w:abstractNumId w:val="1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3EC"/>
    <w:rsid w:val="002A2530"/>
    <w:rsid w:val="00331952"/>
    <w:rsid w:val="00336CF2"/>
    <w:rsid w:val="00347DF7"/>
    <w:rsid w:val="0038511E"/>
    <w:rsid w:val="004B73EC"/>
    <w:rsid w:val="004E13AA"/>
    <w:rsid w:val="005973E7"/>
    <w:rsid w:val="005A2013"/>
    <w:rsid w:val="005F2684"/>
    <w:rsid w:val="006264AB"/>
    <w:rsid w:val="006C06C4"/>
    <w:rsid w:val="006E16C3"/>
    <w:rsid w:val="007D1591"/>
    <w:rsid w:val="0082277F"/>
    <w:rsid w:val="008442B9"/>
    <w:rsid w:val="00980BE0"/>
    <w:rsid w:val="009835A0"/>
    <w:rsid w:val="009E65E9"/>
    <w:rsid w:val="00A00CA7"/>
    <w:rsid w:val="00AD7E04"/>
    <w:rsid w:val="00C176E5"/>
    <w:rsid w:val="00DA310C"/>
    <w:rsid w:val="00DB5043"/>
    <w:rsid w:val="00DB6CE0"/>
    <w:rsid w:val="00DC6AC8"/>
    <w:rsid w:val="00E124AB"/>
    <w:rsid w:val="00E81273"/>
    <w:rsid w:val="00F4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79578-8824-4633-A8EB-DFF405F9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basedOn w:val="a0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List Paragraph"/>
    <w:basedOn w:val="a"/>
    <w:uiPriority w:val="34"/>
    <w:qFormat/>
    <w:pPr>
      <w:ind w:left="401" w:right="129" w:firstLine="698"/>
      <w:jc w:val="both"/>
    </w:p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ocdata">
    <w:name w:val="docdata"/>
    <w:basedOn w:val="a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3">
    <w:name w:val="Основной текст1"/>
    <w:uiPriority w:val="1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Nonformat">
    <w:name w:val="ConsPlusNonforma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icfpwr">
    <w:name w:val="sc-icfpwr"/>
    <w:rsid w:val="00AD7E04"/>
  </w:style>
  <w:style w:type="table" w:customStyle="1" w:styleId="14">
    <w:name w:val="Сетка таблицы1"/>
    <w:uiPriority w:val="59"/>
    <w:rsid w:val="00AD7E0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Calibri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1617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Змановская Мария Николаевна</dc:creator>
  <cp:lastModifiedBy>Скосырев Василий Владиславович</cp:lastModifiedBy>
  <cp:revision>6</cp:revision>
  <dcterms:created xsi:type="dcterms:W3CDTF">2026-04-14T15:19:00Z</dcterms:created>
  <dcterms:modified xsi:type="dcterms:W3CDTF">2026-04-14T16:51:00Z</dcterms:modified>
</cp:coreProperties>
</file>